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C824" w14:textId="77777777" w:rsidR="004547F6" w:rsidRPr="00775EB7" w:rsidRDefault="004547F6" w:rsidP="004547F6">
      <w:pPr>
        <w:jc w:val="center"/>
        <w:rPr>
          <w:rFonts w:ascii="Garamond" w:hAnsi="Garamond"/>
          <w:b/>
          <w:sz w:val="22"/>
          <w:szCs w:val="22"/>
        </w:rPr>
      </w:pPr>
      <w:r w:rsidRPr="00775EB7">
        <w:rPr>
          <w:rFonts w:ascii="Garamond" w:hAnsi="Garamond"/>
          <w:b/>
          <w:sz w:val="22"/>
          <w:szCs w:val="22"/>
        </w:rPr>
        <w:t>Tantárgyi program</w:t>
      </w:r>
    </w:p>
    <w:p w14:paraId="53BC03B0" w14:textId="77777777" w:rsidR="004547F6" w:rsidRPr="00775EB7" w:rsidRDefault="004547F6" w:rsidP="004547F6">
      <w:pPr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9"/>
        <w:gridCol w:w="5177"/>
      </w:tblGrid>
      <w:tr w:rsidR="004547F6" w:rsidRPr="00775EB7" w14:paraId="0F69A421" w14:textId="77777777" w:rsidTr="00DE5211">
        <w:tc>
          <w:tcPr>
            <w:tcW w:w="3936" w:type="dxa"/>
            <w:vMerge w:val="restart"/>
          </w:tcPr>
          <w:p w14:paraId="6EE66561" w14:textId="38A8F6B3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 neve: 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Pénzügyi jogi szakszeminárium II.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5276" w:type="dxa"/>
          </w:tcPr>
          <w:p w14:paraId="17CC3067" w14:textId="26B564A9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Neptun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kódja: </w:t>
            </w:r>
            <w:r w:rsidR="00BD6FA0" w:rsidRPr="00BD6FA0">
              <w:rPr>
                <w:rFonts w:ascii="Garamond" w:hAnsi="Garamond"/>
                <w:sz w:val="22"/>
                <w:szCs w:val="22"/>
              </w:rPr>
              <w:t>DFDIÁJ217N2, DFDIÁJ217L2</w:t>
            </w:r>
          </w:p>
        </w:tc>
      </w:tr>
      <w:tr w:rsidR="004547F6" w:rsidRPr="00775EB7" w14:paraId="634F10B5" w14:textId="77777777" w:rsidTr="00DE5211">
        <w:tc>
          <w:tcPr>
            <w:tcW w:w="3936" w:type="dxa"/>
            <w:vMerge/>
          </w:tcPr>
          <w:p w14:paraId="62CA4F1E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76" w:type="dxa"/>
          </w:tcPr>
          <w:p w14:paraId="064A1688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Tantárgy jellege: kötelezően választandó</w:t>
            </w:r>
          </w:p>
        </w:tc>
      </w:tr>
      <w:tr w:rsidR="004547F6" w:rsidRPr="00775EB7" w14:paraId="327F3B7E" w14:textId="77777777" w:rsidTr="00DE5211">
        <w:tc>
          <w:tcPr>
            <w:tcW w:w="9212" w:type="dxa"/>
            <w:gridSpan w:val="2"/>
          </w:tcPr>
          <w:p w14:paraId="6B40DD86" w14:textId="6C55FC66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Tantárgyfelelős neve, beosztása: </w:t>
            </w:r>
            <w:r w:rsidR="006A7469" w:rsidRPr="00775EB7">
              <w:rPr>
                <w:rFonts w:ascii="Garamond" w:hAnsi="Garamond"/>
                <w:sz w:val="22"/>
                <w:szCs w:val="22"/>
              </w:rPr>
              <w:t xml:space="preserve">Dr. </w:t>
            </w:r>
            <w:r w:rsidR="006A7469">
              <w:rPr>
                <w:rFonts w:ascii="Garamond" w:hAnsi="Garamond"/>
                <w:sz w:val="22"/>
                <w:szCs w:val="22"/>
              </w:rPr>
              <w:t>Varga Zoltán</w:t>
            </w:r>
            <w:r w:rsidR="006A7469" w:rsidRPr="00775EB7">
              <w:rPr>
                <w:rFonts w:ascii="Garamond" w:hAnsi="Garamond"/>
                <w:sz w:val="22"/>
                <w:szCs w:val="22"/>
              </w:rPr>
              <w:t xml:space="preserve"> egyetemi docens</w:t>
            </w:r>
            <w:r w:rsidR="006A7469">
              <w:rPr>
                <w:rFonts w:ascii="Garamond" w:hAnsi="Garamond"/>
                <w:sz w:val="22"/>
                <w:szCs w:val="22"/>
              </w:rPr>
              <w:t>, tudományos és nemzetközi dékánhelyettes</w:t>
            </w:r>
          </w:p>
        </w:tc>
      </w:tr>
      <w:tr w:rsidR="004547F6" w:rsidRPr="00775EB7" w14:paraId="41834181" w14:textId="77777777" w:rsidTr="00DE5211">
        <w:tc>
          <w:tcPr>
            <w:tcW w:w="9212" w:type="dxa"/>
            <w:gridSpan w:val="2"/>
          </w:tcPr>
          <w:p w14:paraId="561A1422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Oktatásba bevont oktatók neve, beosztása:</w:t>
            </w:r>
          </w:p>
        </w:tc>
      </w:tr>
      <w:tr w:rsidR="004547F6" w:rsidRPr="00775EB7" w14:paraId="0879E12E" w14:textId="77777777" w:rsidTr="00DE5211">
        <w:tc>
          <w:tcPr>
            <w:tcW w:w="3936" w:type="dxa"/>
          </w:tcPr>
          <w:p w14:paraId="6374D3F1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Félév:</w:t>
            </w:r>
            <w:r w:rsidRPr="006A7469">
              <w:rPr>
                <w:rFonts w:ascii="Garamond" w:hAnsi="Garamond"/>
                <w:sz w:val="22"/>
                <w:szCs w:val="22"/>
              </w:rPr>
              <w:t xml:space="preserve"> páratlan</w:t>
            </w:r>
            <w:r w:rsidRPr="00775EB7">
              <w:rPr>
                <w:rFonts w:ascii="Garamond" w:hAnsi="Garamond"/>
                <w:sz w:val="22"/>
                <w:szCs w:val="22"/>
              </w:rPr>
              <w:t>/</w:t>
            </w:r>
            <w:r w:rsidRPr="006A7469">
              <w:rPr>
                <w:rFonts w:ascii="Garamond" w:hAnsi="Garamond"/>
                <w:sz w:val="22"/>
                <w:szCs w:val="22"/>
                <w:u w:val="single"/>
              </w:rPr>
              <w:t>páros</w:t>
            </w:r>
          </w:p>
        </w:tc>
        <w:tc>
          <w:tcPr>
            <w:tcW w:w="5276" w:type="dxa"/>
          </w:tcPr>
          <w:p w14:paraId="13F3BBD7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Óraszám/félév: 15</w:t>
            </w:r>
          </w:p>
        </w:tc>
      </w:tr>
      <w:tr w:rsidR="004547F6" w:rsidRPr="00775EB7" w14:paraId="7A5D7A5A" w14:textId="77777777" w:rsidTr="00DE5211">
        <w:tc>
          <w:tcPr>
            <w:tcW w:w="3936" w:type="dxa"/>
          </w:tcPr>
          <w:p w14:paraId="46C04C6C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Kreditérték: 3</w:t>
            </w:r>
          </w:p>
        </w:tc>
        <w:tc>
          <w:tcPr>
            <w:tcW w:w="5276" w:type="dxa"/>
          </w:tcPr>
          <w:p w14:paraId="5A40933D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Számonkérés: kollokvium</w:t>
            </w:r>
          </w:p>
        </w:tc>
      </w:tr>
      <w:tr w:rsidR="004547F6" w:rsidRPr="00775EB7" w14:paraId="6D6C8C4D" w14:textId="77777777" w:rsidTr="00DE5211">
        <w:tc>
          <w:tcPr>
            <w:tcW w:w="9212" w:type="dxa"/>
            <w:gridSpan w:val="2"/>
          </w:tcPr>
          <w:p w14:paraId="6F2BBDD0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 feladata, célja</w:t>
            </w:r>
            <w:r w:rsidRPr="00775EB7">
              <w:rPr>
                <w:rFonts w:ascii="Garamond" w:hAnsi="Garamond"/>
                <w:sz w:val="22"/>
                <w:szCs w:val="22"/>
              </w:rPr>
              <w:t>:</w:t>
            </w:r>
          </w:p>
          <w:p w14:paraId="7C1DBCC9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1BE05E56" w14:textId="39C0CB84" w:rsidR="004547F6" w:rsidRPr="00775EB7" w:rsidRDefault="004547F6" w:rsidP="00DE5211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Az oktatás célja a pénzügyek jogának tudományos megalapozása című doktori alprogramra jelentkező résztvevőket részletesen megismertetni az adott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egy-egy speciális területével, a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kialakulási és fejlődési tendenciával. A képzésben résztvevő doktorjelölt kutatáselméleti ismereteinek megalapozása, elmélyítése, elvi segítségadás a disszertáció összeállításához. A programra jelentkező doktorjelöltek a jelen szemeszterben folytatják megkezdett adójogi kutatásaikat, az oktatás célja a gyakorlati ismeretek megalapozása, elmélyítése, az ismeretanyag beépítése a doktori értekezésbe. A II. szemeszterben a belföldi adózás anyagi és eljárásjogi témaköreinek feldolgozására és elemzésére kerül sor, különös tekintettel a speciális szabályokra.</w:t>
            </w:r>
          </w:p>
          <w:p w14:paraId="098FD1B4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4547F6" w:rsidRPr="00775EB7" w14:paraId="01A2EE8B" w14:textId="77777777" w:rsidTr="00DE5211">
        <w:tc>
          <w:tcPr>
            <w:tcW w:w="9212" w:type="dxa"/>
            <w:gridSpan w:val="2"/>
          </w:tcPr>
          <w:p w14:paraId="784F62BA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Tantárgyi tematika (heti bontásban):</w:t>
            </w:r>
          </w:p>
          <w:p w14:paraId="188B640C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3689D82F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adójog rendszere és elhelyezkedése a pénzügyi jogon belül, kapcsolódása a többi jogághoz, elhatárolása a közigazgatási jogtól, polgári jogtól</w:t>
            </w:r>
          </w:p>
          <w:p w14:paraId="613742E9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kontinentális és angol-szász típusú adórendszerek jellemzői, adópolitika</w:t>
            </w:r>
          </w:p>
          <w:p w14:paraId="200EDB8F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jövedelemadók rendszere</w:t>
            </w:r>
          </w:p>
          <w:p w14:paraId="7509BA8A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magánszemélyek jövedelemadójának speciális szabályai a külföldi és belföldi adóalany szemszögéből</w:t>
            </w:r>
          </w:p>
          <w:p w14:paraId="114625D0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külföldiekre vonatkozó hazai adójogi rendelkezések</w:t>
            </w:r>
          </w:p>
          <w:p w14:paraId="4B2562C5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Jövedelemtípusok összehasonlító jogi elemzése, az európai uniós szabályok</w:t>
            </w:r>
          </w:p>
          <w:p w14:paraId="744B00F8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adóztatás problémái: adóelkerülés, adókikerülés, adókijátszás</w:t>
            </w:r>
          </w:p>
          <w:p w14:paraId="7C712F63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tőkenyereség és értékpapírból származó jövedelem adóztatása</w:t>
            </w:r>
          </w:p>
          <w:p w14:paraId="1D33EE90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adóeljárási jog általános és különös szabályai, elhatárolása</w:t>
            </w:r>
          </w:p>
          <w:p w14:paraId="6C53DF0E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kettős adóztatási egyezmények rendszerbeli elhelyezése, elemzése</w:t>
            </w:r>
          </w:p>
          <w:p w14:paraId="68A106A2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Adóalanyok köre a társasági adóban </w:t>
            </w:r>
          </w:p>
          <w:p w14:paraId="04885A15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üzleti adóztatás alapelvei és főbb szabályai</w:t>
            </w:r>
          </w:p>
          <w:p w14:paraId="7DF49A50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Adókedvezményekre vonatkozó Alkotmánybírósági Határozatok áttekintése</w:t>
            </w:r>
          </w:p>
          <w:p w14:paraId="2BD0E23B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illetékjogi szabályozás fejlődése</w:t>
            </w:r>
          </w:p>
          <w:p w14:paraId="0783ABF5" w14:textId="77777777" w:rsidR="004547F6" w:rsidRPr="00775EB7" w:rsidRDefault="004547F6" w:rsidP="004547F6">
            <w:pPr>
              <w:numPr>
                <w:ilvl w:val="0"/>
                <w:numId w:val="2"/>
              </w:numPr>
              <w:ind w:left="360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magyar adójogra vonatkozó belföldi és nemzetközi szakirodalom áttekintése</w:t>
            </w:r>
          </w:p>
          <w:p w14:paraId="61688428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4547F6" w:rsidRPr="00775EB7" w14:paraId="12D6C49C" w14:textId="77777777" w:rsidTr="00DE5211">
        <w:tc>
          <w:tcPr>
            <w:tcW w:w="9212" w:type="dxa"/>
            <w:gridSpan w:val="2"/>
          </w:tcPr>
          <w:p w14:paraId="62A5EF36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 xml:space="preserve">Számonkérés módja: </w:t>
            </w:r>
            <w:r w:rsidRPr="00775EB7">
              <w:rPr>
                <w:rFonts w:ascii="Garamond" w:hAnsi="Garamond"/>
                <w:sz w:val="22"/>
                <w:szCs w:val="22"/>
              </w:rPr>
              <w:t>írásbeli és szóbeli</w:t>
            </w:r>
          </w:p>
        </w:tc>
      </w:tr>
      <w:tr w:rsidR="004547F6" w:rsidRPr="00775EB7" w14:paraId="4013DEDA" w14:textId="77777777" w:rsidTr="00DE5211">
        <w:tc>
          <w:tcPr>
            <w:tcW w:w="9212" w:type="dxa"/>
            <w:gridSpan w:val="2"/>
          </w:tcPr>
          <w:p w14:paraId="54415961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Kötelező irodalom:</w:t>
            </w:r>
          </w:p>
          <w:p w14:paraId="6A0ECDBB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77DD9186" w14:textId="2A26C2D1" w:rsidR="00BD6FA0" w:rsidRDefault="004547F6" w:rsidP="006A7469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</w:p>
          <w:p w14:paraId="47D5DD4E" w14:textId="2B114C45" w:rsidR="006A7469" w:rsidRDefault="006A7469" w:rsidP="004547F6">
            <w:pPr>
              <w:numPr>
                <w:ilvl w:val="0"/>
                <w:numId w:val="3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Herich György: Adótan,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Penta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Unió, Pécs, 2026. </w:t>
            </w:r>
          </w:p>
          <w:p w14:paraId="2DA06FA0" w14:textId="576FE4CA" w:rsidR="006A7469" w:rsidRDefault="006A7469" w:rsidP="004547F6">
            <w:pPr>
              <w:numPr>
                <w:ilvl w:val="0"/>
                <w:numId w:val="3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Herich György: Adótan-Magyarázatok,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Penta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Unió, Pécs, 2026.</w:t>
            </w:r>
          </w:p>
          <w:p w14:paraId="405F0E2B" w14:textId="57C87B74" w:rsidR="006A7469" w:rsidRDefault="006A7469" w:rsidP="004547F6">
            <w:pPr>
              <w:numPr>
                <w:ilvl w:val="0"/>
                <w:numId w:val="3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>Simon István: Pénzügyi jog II.</w:t>
            </w:r>
            <w:r w:rsidRPr="006A7469">
              <w:rPr>
                <w:rFonts w:ascii="Garamond" w:hAnsi="Garamond"/>
                <w:sz w:val="22"/>
                <w:szCs w:val="22"/>
              </w:rPr>
              <w:tab/>
              <w:t>ELTE Eötvös Kiadó Kft., Budapest 2022</w:t>
            </w:r>
          </w:p>
          <w:p w14:paraId="49E8FE97" w14:textId="77777777" w:rsidR="004547F6" w:rsidRPr="00775EB7" w:rsidRDefault="004547F6" w:rsidP="004547F6">
            <w:pPr>
              <w:numPr>
                <w:ilvl w:val="0"/>
                <w:numId w:val="3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Deák Dániel: Alkotmány és adójog, Alkotmányos adójog magyar nézőpontból, HVG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Orac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>, Budapest, 2016.</w:t>
            </w:r>
          </w:p>
          <w:p w14:paraId="12A5A9D4" w14:textId="77777777" w:rsidR="004547F6" w:rsidRPr="00775EB7" w:rsidRDefault="004547F6" w:rsidP="004547F6">
            <w:pPr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Erdős Éva: A közteherviselés elvének kiterjesztő értelmezése az európai adóharmonizáció tükrében, Miskolci Jogi Szemle, Különszám, VI. évfolyam, 2011. HU- ISSN1788-0386., Bíbor Kiadó, 46.- 62.o</w:t>
            </w:r>
          </w:p>
          <w:p w14:paraId="7870D493" w14:textId="77777777" w:rsidR="004547F6" w:rsidRPr="00775EB7" w:rsidRDefault="004547F6" w:rsidP="004547F6">
            <w:pPr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Erdős Éva: Rendezett jogi háttér vagy jogsértő gyakorlat? A vagyonosodási vizsgálatok problémáiról (Kovács Kitti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társszerzővel )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Gazdaság és jog XVII. Évfolyam, 10. szám, 2009. október 3-8. o</w:t>
            </w:r>
          </w:p>
          <w:p w14:paraId="1B97F757" w14:textId="77777777" w:rsidR="004547F6" w:rsidRPr="00775EB7" w:rsidRDefault="004547F6" w:rsidP="00DE521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FF87E14" w14:textId="77777777" w:rsidR="004547F6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lastRenderedPageBreak/>
              <w:t>idegen nyelvű</w:t>
            </w:r>
          </w:p>
          <w:p w14:paraId="5ECDD25E" w14:textId="77777777" w:rsidR="006A7469" w:rsidRPr="00A63242" w:rsidRDefault="006A7469" w:rsidP="006A7469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Boria, Pietro: Taxation in European Union,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Softcover reprint of the original 2nd ed. 2017,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Kiadó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: Springer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2018.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július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25.</w:t>
            </w:r>
          </w:p>
          <w:p w14:paraId="190C59E9" w14:textId="77777777" w:rsidR="006A7469" w:rsidRPr="00A63242" w:rsidRDefault="006A7469" w:rsidP="006A7469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Lang, Michael; Pistone, Pasquale; Schuch, Josef; Introduction to European Tax Law on Direct Taxation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Sorozatcím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Linde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Lehrbuch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;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6.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Aufl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.,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Kiadó: Linde, Wien,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2020.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szeptember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15.</w:t>
            </w:r>
          </w:p>
          <w:p w14:paraId="09E1F97E" w14:textId="77777777" w:rsidR="006A7469" w:rsidRDefault="006A7469" w:rsidP="006A7469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Seer, Roman; Hey, Johanna; Englisch, </w:t>
            </w:r>
            <w:proofErr w:type="spellStart"/>
            <w:proofErr w:type="gram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Joachim;Steuerrecht</w:t>
            </w:r>
            <w:proofErr w:type="spellEnd"/>
            <w:proofErr w:type="gramEnd"/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Kiadás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sorszáma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24. neu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bearbeitete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Auflage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2020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Kiadó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: Schmidt (Otto), Köln</w:t>
            </w:r>
            <w:r>
              <w:rPr>
                <w:rFonts w:ascii="Garamond" w:hAnsi="Garamond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Megjelenés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dátuma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: 2020. </w:t>
            </w:r>
            <w:proofErr w:type="spellStart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>december</w:t>
            </w:r>
            <w:proofErr w:type="spellEnd"/>
            <w:r w:rsidRPr="00A63242">
              <w:rPr>
                <w:rFonts w:ascii="Garamond" w:hAnsi="Garamond"/>
                <w:sz w:val="22"/>
                <w:szCs w:val="22"/>
                <w:lang w:val="en-GB"/>
              </w:rPr>
              <w:t xml:space="preserve"> 10.</w:t>
            </w:r>
          </w:p>
          <w:p w14:paraId="6B0984F4" w14:textId="02A21D0F" w:rsidR="004547F6" w:rsidRPr="006A7469" w:rsidRDefault="004547F6" w:rsidP="006A7469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  <w:lang w:val="en-GB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Studies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in European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and Financial Law, University of Miskolc, 2010. pp.1-114.</w:t>
            </w:r>
          </w:p>
          <w:p w14:paraId="59E4F83B" w14:textId="77777777" w:rsidR="004547F6" w:rsidRPr="00775EB7" w:rsidRDefault="004547F6" w:rsidP="00DE5211">
            <w:pPr>
              <w:ind w:left="42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4547F6" w:rsidRPr="00775EB7" w14:paraId="0559C125" w14:textId="77777777" w:rsidTr="00DE5211">
        <w:tc>
          <w:tcPr>
            <w:tcW w:w="9212" w:type="dxa"/>
            <w:gridSpan w:val="2"/>
          </w:tcPr>
          <w:p w14:paraId="55592EDB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lastRenderedPageBreak/>
              <w:t>Ajánlott irodalom:</w:t>
            </w:r>
          </w:p>
          <w:p w14:paraId="59676358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6E5B145D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</w:p>
          <w:p w14:paraId="52039C6F" w14:textId="77777777" w:rsidR="004547F6" w:rsidRPr="006A7469" w:rsidRDefault="004547F6" w:rsidP="006A7469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Erdős Éva: Új tendenciák az egyenes adók harmonizációjában, Miskolci Jogtudományi Műhely 3., Magyarország az Európai Uniós csatlakozás küszöbén (a 2003. május 28-i tudományos ülés anyaga), szerk.: Róth Erika, Bíbor Kiadó, Miskolc, 2003. 69-88. o. </w:t>
            </w:r>
          </w:p>
          <w:p w14:paraId="6F953DE4" w14:textId="77777777" w:rsidR="004547F6" w:rsidRPr="006A7469" w:rsidRDefault="004547F6" w:rsidP="006A7469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Erdős Éva: A jövedelemadóval kapcsolatos diszkriminatív rendelkezések igazolhatósága a közösségi jogban az Európai Bíróság ítélkezési gyakorlatának tükrében I.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( Rácz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Rita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társszerzővel )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Publicationes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Universitatis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Miskolcinensis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,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Sectio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Juridica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et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Politica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Tomus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XXVII/1. Miskolc University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Press ,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2009. 257- 287. o</w:t>
            </w:r>
          </w:p>
          <w:p w14:paraId="4B743F6D" w14:textId="77777777" w:rsidR="004547F6" w:rsidRPr="006A7469" w:rsidRDefault="004547F6" w:rsidP="006A7469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Erdős Éva: A jövedelemadóval kapcsolatos diszkriminatív nemzeti rendelkezések igazolhatósága az uniós jogban az Európai Bíróság ítélkezési gyakorlatának tükrében </w:t>
            </w:r>
            <w:proofErr w:type="spellStart"/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II.rész</w:t>
            </w:r>
            <w:proofErr w:type="spellEnd"/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( társszerző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: Rácz Rita)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Publicationes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Universitatis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Miskolcinensis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,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Sectio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Juridica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et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Politica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Tomus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XXVIII. Miskolc University Press, Miskolc, 2010. 189-209.o.</w:t>
            </w:r>
          </w:p>
          <w:p w14:paraId="45B20C25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idegen nyelvű</w:t>
            </w:r>
          </w:p>
          <w:p w14:paraId="5A88AF39" w14:textId="005D1A4A" w:rsidR="004547F6" w:rsidRPr="006A7469" w:rsidRDefault="004547F6" w:rsidP="006A7469">
            <w:pPr>
              <w:pStyle w:val="Listaszerbekezds"/>
              <w:numPr>
                <w:ilvl w:val="0"/>
                <w:numId w:val="8"/>
              </w:num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Ben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J. M. Terra – Peter J.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Wattel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: European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Law,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Wolters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Kluwer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Law and Business,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Netherland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201</w:t>
            </w:r>
            <w:r w:rsidR="006A7469" w:rsidRPr="006A7469">
              <w:rPr>
                <w:rFonts w:ascii="Garamond" w:hAnsi="Garamond"/>
                <w:sz w:val="22"/>
                <w:szCs w:val="22"/>
              </w:rPr>
              <w:t>9</w:t>
            </w:r>
            <w:r w:rsidRPr="006A7469">
              <w:rPr>
                <w:rFonts w:ascii="Garamond" w:hAnsi="Garamond"/>
                <w:sz w:val="22"/>
                <w:szCs w:val="22"/>
              </w:rPr>
              <w:t>.</w:t>
            </w:r>
          </w:p>
          <w:p w14:paraId="48B6F7FF" w14:textId="77777777" w:rsidR="004547F6" w:rsidRPr="006A7469" w:rsidRDefault="004547F6" w:rsidP="006A7469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Eva Erdős: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Some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Thoughts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about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about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Delimitation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Law of Public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Finances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int he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Light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of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Hungarian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Legislation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Curentul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Juridic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2015/4. Year XVIII, No. 4.(63), 2015. Pp. 116.-126.</w:t>
            </w:r>
          </w:p>
          <w:p w14:paraId="76738756" w14:textId="5D627EA2" w:rsidR="006A7469" w:rsidRPr="006A7469" w:rsidRDefault="006A7469" w:rsidP="006A7469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Eva Erdős: Law of Public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Finances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EU – The European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Harmonization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,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2011. (MPEAP project no. 510222-LLP-1-RO-ERASMUS-ECDSP,) Editura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„Petru Maior”,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Targu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-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(„Petru-Maior” </w:t>
            </w:r>
            <w:proofErr w:type="spellStart"/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University,Tirgu</w:t>
            </w:r>
            <w:proofErr w:type="spellEnd"/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Mures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),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Romania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>, 2011.ISBN 978-606-581-031-0. pp.1-166.</w:t>
            </w:r>
          </w:p>
          <w:p w14:paraId="491BE095" w14:textId="77777777" w:rsidR="006A7469" w:rsidRPr="006A7469" w:rsidRDefault="006A7469" w:rsidP="006A7469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6A7469">
              <w:rPr>
                <w:rFonts w:ascii="Garamond" w:hAnsi="Garamond"/>
                <w:sz w:val="22"/>
                <w:szCs w:val="22"/>
              </w:rPr>
              <w:t xml:space="preserve">Éva Erdős: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Optimization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Avoidance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or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Tax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Evasion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?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Contributions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to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the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Offshore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Companies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’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Legal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Background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Curentul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Juridic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 xml:space="preserve">(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Juridical</w:t>
            </w:r>
            <w:proofErr w:type="spellEnd"/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Current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),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year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3/2010. 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 xml:space="preserve">(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volume</w:t>
            </w:r>
            <w:proofErr w:type="spellEnd"/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42) Editura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Universitatii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Petru-</w:t>
            </w:r>
            <w:proofErr w:type="gramStart"/>
            <w:r w:rsidRPr="006A7469">
              <w:rPr>
                <w:rFonts w:ascii="Garamond" w:hAnsi="Garamond"/>
                <w:sz w:val="22"/>
                <w:szCs w:val="22"/>
              </w:rPr>
              <w:t>Maior ,</w:t>
            </w:r>
            <w:proofErr w:type="gramEnd"/>
            <w:r w:rsidRPr="006A7469">
              <w:rPr>
                <w:rFonts w:ascii="Garamond" w:hAnsi="Garamond"/>
                <w:sz w:val="22"/>
                <w:szCs w:val="22"/>
              </w:rPr>
              <w:t xml:space="preserve"> “Petru Maior”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Universitiy’s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 Publishing House,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Tirgu-Mures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6A7469">
              <w:rPr>
                <w:rFonts w:ascii="Garamond" w:hAnsi="Garamond"/>
                <w:sz w:val="22"/>
                <w:szCs w:val="22"/>
              </w:rPr>
              <w:t>Romania</w:t>
            </w:r>
            <w:proofErr w:type="spellEnd"/>
            <w:r w:rsidRPr="006A7469">
              <w:rPr>
                <w:rFonts w:ascii="Garamond" w:hAnsi="Garamond"/>
                <w:sz w:val="22"/>
                <w:szCs w:val="22"/>
              </w:rPr>
              <w:t>, ISSN. 1224-9173, pp. 47-56.</w:t>
            </w:r>
          </w:p>
          <w:p w14:paraId="72CA448B" w14:textId="77777777" w:rsidR="006A7469" w:rsidRPr="00775EB7" w:rsidRDefault="006A7469" w:rsidP="006A7469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E54C6C2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4547F6" w:rsidRPr="00775EB7" w14:paraId="0C17830E" w14:textId="77777777" w:rsidTr="00DE5211">
        <w:tc>
          <w:tcPr>
            <w:tcW w:w="9212" w:type="dxa"/>
            <w:gridSpan w:val="2"/>
          </w:tcPr>
          <w:p w14:paraId="5F53528D" w14:textId="77777777" w:rsidR="004547F6" w:rsidRPr="00775EB7" w:rsidRDefault="004547F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További szakirodalom:</w:t>
            </w:r>
          </w:p>
          <w:p w14:paraId="1A92C836" w14:textId="77777777" w:rsidR="004547F6" w:rsidRPr="00775EB7" w:rsidRDefault="004547F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D0B75D7" w14:textId="77777777" w:rsidR="00FF2137" w:rsidRDefault="00FF2137"/>
    <w:sectPr w:rsidR="00FF2137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3FDC"/>
    <w:multiLevelType w:val="hybridMultilevel"/>
    <w:tmpl w:val="B924173C"/>
    <w:lvl w:ilvl="0" w:tplc="040E000F">
      <w:start w:val="1"/>
      <w:numFmt w:val="decimal"/>
      <w:lvlText w:val="%1."/>
      <w:lvlJc w:val="left"/>
      <w:pPr>
        <w:ind w:left="1413" w:hanging="360"/>
      </w:pPr>
    </w:lvl>
    <w:lvl w:ilvl="1" w:tplc="DA78B8E0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853" w:hanging="180"/>
      </w:pPr>
    </w:lvl>
    <w:lvl w:ilvl="3" w:tplc="040E000F" w:tentative="1">
      <w:start w:val="1"/>
      <w:numFmt w:val="decimal"/>
      <w:lvlText w:val="%4."/>
      <w:lvlJc w:val="left"/>
      <w:pPr>
        <w:ind w:left="3573" w:hanging="360"/>
      </w:pPr>
    </w:lvl>
    <w:lvl w:ilvl="4" w:tplc="040E0019" w:tentative="1">
      <w:start w:val="1"/>
      <w:numFmt w:val="lowerLetter"/>
      <w:lvlText w:val="%5."/>
      <w:lvlJc w:val="left"/>
      <w:pPr>
        <w:ind w:left="4293" w:hanging="360"/>
      </w:pPr>
    </w:lvl>
    <w:lvl w:ilvl="5" w:tplc="040E001B" w:tentative="1">
      <w:start w:val="1"/>
      <w:numFmt w:val="lowerRoman"/>
      <w:lvlText w:val="%6."/>
      <w:lvlJc w:val="right"/>
      <w:pPr>
        <w:ind w:left="5013" w:hanging="180"/>
      </w:pPr>
    </w:lvl>
    <w:lvl w:ilvl="6" w:tplc="040E000F" w:tentative="1">
      <w:start w:val="1"/>
      <w:numFmt w:val="decimal"/>
      <w:lvlText w:val="%7."/>
      <w:lvlJc w:val="left"/>
      <w:pPr>
        <w:ind w:left="5733" w:hanging="360"/>
      </w:pPr>
    </w:lvl>
    <w:lvl w:ilvl="7" w:tplc="040E0019" w:tentative="1">
      <w:start w:val="1"/>
      <w:numFmt w:val="lowerLetter"/>
      <w:lvlText w:val="%8."/>
      <w:lvlJc w:val="left"/>
      <w:pPr>
        <w:ind w:left="6453" w:hanging="360"/>
      </w:pPr>
    </w:lvl>
    <w:lvl w:ilvl="8" w:tplc="040E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" w15:restartNumberingAfterBreak="0">
    <w:nsid w:val="2F2E28F7"/>
    <w:multiLevelType w:val="hybridMultilevel"/>
    <w:tmpl w:val="B924173C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>
      <w:numFmt w:val="bullet"/>
      <w:lvlText w:val="-"/>
      <w:lvlJc w:val="left"/>
      <w:pPr>
        <w:ind w:left="1500" w:hanging="360"/>
      </w:pPr>
      <w:rPr>
        <w:rFonts w:ascii="Times New Roman" w:eastAsia="Calibr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8AC53C7"/>
    <w:multiLevelType w:val="hybridMultilevel"/>
    <w:tmpl w:val="8AFC75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42E1E"/>
    <w:multiLevelType w:val="hybridMultilevel"/>
    <w:tmpl w:val="FA9833B0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D373E34"/>
    <w:multiLevelType w:val="hybridMultilevel"/>
    <w:tmpl w:val="14266A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75FF1"/>
    <w:multiLevelType w:val="hybridMultilevel"/>
    <w:tmpl w:val="6AB064C4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72C579D"/>
    <w:multiLevelType w:val="hybridMultilevel"/>
    <w:tmpl w:val="14266A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E3219"/>
    <w:multiLevelType w:val="hybridMultilevel"/>
    <w:tmpl w:val="B924173C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DA78B8E0">
      <w:numFmt w:val="bullet"/>
      <w:lvlText w:val="-"/>
      <w:lvlJc w:val="left"/>
      <w:pPr>
        <w:ind w:left="1500" w:hanging="360"/>
      </w:pPr>
      <w:rPr>
        <w:rFonts w:ascii="Times New Roman" w:eastAsia="Calibri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4163D5E"/>
    <w:multiLevelType w:val="hybridMultilevel"/>
    <w:tmpl w:val="5F689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233480">
    <w:abstractNumId w:val="0"/>
  </w:num>
  <w:num w:numId="2" w16cid:durableId="969240019">
    <w:abstractNumId w:val="8"/>
  </w:num>
  <w:num w:numId="3" w16cid:durableId="1804688430">
    <w:abstractNumId w:val="6"/>
  </w:num>
  <w:num w:numId="4" w16cid:durableId="352269834">
    <w:abstractNumId w:val="4"/>
  </w:num>
  <w:num w:numId="5" w16cid:durableId="482087498">
    <w:abstractNumId w:val="7"/>
  </w:num>
  <w:num w:numId="6" w16cid:durableId="117797249">
    <w:abstractNumId w:val="2"/>
  </w:num>
  <w:num w:numId="7" w16cid:durableId="1447117702">
    <w:abstractNumId w:val="1"/>
  </w:num>
  <w:num w:numId="8" w16cid:durableId="1855152115">
    <w:abstractNumId w:val="3"/>
  </w:num>
  <w:num w:numId="9" w16cid:durableId="1294940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F6"/>
    <w:rsid w:val="00353071"/>
    <w:rsid w:val="004547F6"/>
    <w:rsid w:val="004F5978"/>
    <w:rsid w:val="00544094"/>
    <w:rsid w:val="00622808"/>
    <w:rsid w:val="006A7469"/>
    <w:rsid w:val="00BD6FA0"/>
    <w:rsid w:val="00C35988"/>
    <w:rsid w:val="00FF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A114"/>
  <w14:defaultImageDpi w14:val="32767"/>
  <w15:chartTrackingRefBased/>
  <w15:docId w15:val="{7352BAE8-029E-DB40-B8C3-2D5855CF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4547F6"/>
    <w:rPr>
      <w:rFonts w:eastAsia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7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741</Words>
  <Characters>4729</Characters>
  <Application>Microsoft Office Word</Application>
  <DocSecurity>0</DocSecurity>
  <Lines>102</Lines>
  <Paragraphs>62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Dr. Varga Zoltán</cp:lastModifiedBy>
  <cp:revision>2</cp:revision>
  <dcterms:created xsi:type="dcterms:W3CDTF">2026-02-01T21:03:00Z</dcterms:created>
  <dcterms:modified xsi:type="dcterms:W3CDTF">2026-02-01T21:03:00Z</dcterms:modified>
</cp:coreProperties>
</file>